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4B517" w14:textId="0E6E57E6" w:rsidR="00431C66" w:rsidRDefault="00E12AF4" w:rsidP="00E12AF4">
      <w:pPr>
        <w:jc w:val="center"/>
        <w:rPr>
          <w:b/>
          <w:bCs/>
        </w:rPr>
      </w:pPr>
      <w:r>
        <w:rPr>
          <w:b/>
          <w:bCs/>
        </w:rPr>
        <w:t>Data Roundup</w:t>
      </w:r>
      <w:r w:rsidR="00ED4F1B">
        <w:rPr>
          <w:rStyle w:val="FootnoteReference"/>
          <w:b/>
          <w:bCs/>
        </w:rPr>
        <w:footnoteReference w:id="1"/>
      </w:r>
    </w:p>
    <w:p w14:paraId="1325CF4C" w14:textId="77777777" w:rsidR="00BD09F4" w:rsidRDefault="00BD09F4" w:rsidP="00E12AF4"/>
    <w:p w14:paraId="3E38EB0B" w14:textId="7296BA57" w:rsidR="00BD09F4" w:rsidRDefault="00BD09F4" w:rsidP="00BD09F4">
      <w:pPr>
        <w:pStyle w:val="ListParagraph"/>
        <w:numPr>
          <w:ilvl w:val="0"/>
          <w:numId w:val="1"/>
        </w:numPr>
      </w:pPr>
      <w:r>
        <w:t xml:space="preserve">We had 517 raw responses. </w:t>
      </w:r>
    </w:p>
    <w:p w14:paraId="0D77E63A" w14:textId="1B778110" w:rsidR="00BD09F4" w:rsidRDefault="00BD09F4" w:rsidP="00BD09F4">
      <w:pPr>
        <w:pStyle w:val="ListParagraph"/>
        <w:numPr>
          <w:ilvl w:val="0"/>
          <w:numId w:val="1"/>
        </w:numPr>
      </w:pPr>
      <w:r>
        <w:t xml:space="preserve">Some of these are clearly duplicate submissions, either by accident or on purpose. </w:t>
      </w:r>
    </w:p>
    <w:p w14:paraId="529EF430" w14:textId="16E5FA33" w:rsidR="00BD09F4" w:rsidRDefault="00BD09F4" w:rsidP="00BD09F4">
      <w:pPr>
        <w:pStyle w:val="ListParagraph"/>
        <w:numPr>
          <w:ilvl w:val="0"/>
          <w:numId w:val="1"/>
        </w:numPr>
      </w:pPr>
      <w:r>
        <w:t>There was no obvious pattern of duplication or indication of manipulated answers; our best guess is duplicate submissions on google form.</w:t>
      </w:r>
    </w:p>
    <w:p w14:paraId="63EAE37D" w14:textId="17EACAD6" w:rsidR="00BD09F4" w:rsidRDefault="00BD09F4" w:rsidP="00BD09F4">
      <w:pPr>
        <w:pStyle w:val="ListParagraph"/>
        <w:numPr>
          <w:ilvl w:val="0"/>
          <w:numId w:val="1"/>
        </w:numPr>
      </w:pPr>
      <w:r>
        <w:t>As such, deduplicating was beyond the time constraints of this project.</w:t>
      </w:r>
    </w:p>
    <w:p w14:paraId="7DB4DAEB" w14:textId="2C4DF8DF" w:rsidR="00BD09F4" w:rsidRDefault="00BD09F4" w:rsidP="00BD09F4">
      <w:pPr>
        <w:pStyle w:val="ListParagraph"/>
        <w:numPr>
          <w:ilvl w:val="0"/>
          <w:numId w:val="1"/>
        </w:numPr>
      </w:pPr>
      <w:r>
        <w:t xml:space="preserve">However, there was a smaller group of answers that we could assume was unique: the 271 answers with submitted stories. (hereinafter “verified </w:t>
      </w:r>
      <w:proofErr w:type="spellStart"/>
      <w:r>
        <w:t>uniques</w:t>
      </w:r>
      <w:proofErr w:type="spellEnd"/>
      <w:r>
        <w:t>”).</w:t>
      </w:r>
    </w:p>
    <w:p w14:paraId="57F4CF6B" w14:textId="514D6D4B" w:rsidR="00BD09F4" w:rsidRDefault="00BD09F4" w:rsidP="008A07EC">
      <w:pPr>
        <w:pStyle w:val="ListParagraph"/>
        <w:numPr>
          <w:ilvl w:val="0"/>
          <w:numId w:val="1"/>
        </w:numPr>
      </w:pPr>
      <w:r w:rsidRPr="00BD09F4">
        <w:rPr>
          <w:b/>
          <w:bCs/>
        </w:rPr>
        <w:t>The overall preference of the student body is abundantly clear: opting in after seeing grades.</w:t>
      </w:r>
      <w:r>
        <w:t xml:space="preserve"> This was true for both the verified </w:t>
      </w:r>
      <w:proofErr w:type="spellStart"/>
      <w:r>
        <w:t>uniques</w:t>
      </w:r>
      <w:proofErr w:type="spellEnd"/>
      <w:r>
        <w:t xml:space="preserve"> and the student body as a whole, in about the same percentage (further establishing the data were not manipulated in an obvious way). </w:t>
      </w:r>
    </w:p>
    <w:p w14:paraId="2266B0FD" w14:textId="1D76887D" w:rsidR="008A07EC" w:rsidRDefault="008A07EC" w:rsidP="008A07EC">
      <w:pPr>
        <w:pStyle w:val="ListParagraph"/>
        <w:numPr>
          <w:ilvl w:val="0"/>
          <w:numId w:val="1"/>
        </w:numPr>
      </w:pPr>
      <w:r>
        <w:rPr>
          <w:b/>
          <w:bCs/>
        </w:rPr>
        <w:t>The student body is deeply split as to whether it prefers P/F or grades if opting in is not available.</w:t>
      </w:r>
      <w:r>
        <w:t xml:space="preserve"> Given the lack of time to verify the data and the narrowness of the divide, these results are within a responsible margin of error.</w:t>
      </w:r>
    </w:p>
    <w:p w14:paraId="0EC3C44C" w14:textId="23202E60" w:rsidR="00BD09F4" w:rsidRDefault="00BD09F4" w:rsidP="00BD09F4"/>
    <w:p w14:paraId="3C65714B" w14:textId="1AB811F4" w:rsidR="00BD09F4" w:rsidRDefault="00BD09F4" w:rsidP="00E12AF4"/>
    <w:p w14:paraId="229590F7" w14:textId="77777777" w:rsidR="00BD09F4" w:rsidRDefault="00BD09F4" w:rsidP="00E12AF4">
      <w:pPr>
        <w:rPr>
          <w:b/>
          <w:bCs/>
        </w:rPr>
      </w:pPr>
    </w:p>
    <w:p w14:paraId="53141CC7" w14:textId="141C5D77" w:rsidR="00E12AF4" w:rsidRDefault="00E12AF4" w:rsidP="00E12AF4">
      <w:pPr>
        <w:rPr>
          <w:b/>
          <w:bCs/>
        </w:rPr>
      </w:pPr>
      <w:proofErr w:type="gramStart"/>
      <w:r>
        <w:rPr>
          <w:b/>
          <w:bCs/>
        </w:rPr>
        <w:t>Overall</w:t>
      </w:r>
      <w:proofErr w:type="gramEnd"/>
      <w:r>
        <w:rPr>
          <w:b/>
          <w:bCs/>
        </w:rPr>
        <w:t xml:space="preserve"> #1 choices:</w:t>
      </w:r>
    </w:p>
    <w:p w14:paraId="3550AB35" w14:textId="77777777" w:rsidR="00E12AF4" w:rsidRDefault="00E12AF4" w:rsidP="00E12AF4">
      <w:pPr>
        <w:rPr>
          <w:b/>
          <w:bCs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1740"/>
        <w:gridCol w:w="1740"/>
        <w:gridCol w:w="2080"/>
        <w:gridCol w:w="1940"/>
        <w:gridCol w:w="1740"/>
      </w:tblGrid>
      <w:tr w:rsidR="00E12AF4" w:rsidRPr="00E12AF4" w14:paraId="743C8E6C" w14:textId="77777777" w:rsidTr="00E12AF4">
        <w:trPr>
          <w:trHeight w:val="76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8B75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CE75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#1: GRADES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5F3A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#1: OPT IN, SEE GRADES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3686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#1: OPT IN, NO GRADES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6F4D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#1: P/F ONLY</w:t>
            </w:r>
          </w:p>
        </w:tc>
      </w:tr>
      <w:tr w:rsidR="00E12AF4" w:rsidRPr="00E12AF4" w14:paraId="764A26AC" w14:textId="77777777" w:rsidTr="00E12AF4">
        <w:trPr>
          <w:trHeight w:val="5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C0F1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1L FT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332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503F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3484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6533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E12AF4" w:rsidRPr="00E12AF4" w14:paraId="4B3EA53F" w14:textId="77777777" w:rsidTr="00E12AF4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9D3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1L PT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883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00A9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96B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264A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E12AF4" w:rsidRPr="00E12AF4" w14:paraId="0A77C3CD" w14:textId="77777777" w:rsidTr="00E12AF4">
        <w:trPr>
          <w:trHeight w:val="4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3CDA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2L FT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3E4E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F846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947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616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E12AF4" w:rsidRPr="00E12AF4" w14:paraId="73F706DC" w14:textId="77777777" w:rsidTr="00E12AF4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3FBA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2L PT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9B84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BB5D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E9A1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8F4C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12AF4" w:rsidRPr="00E12AF4" w14:paraId="56B7751F" w14:textId="77777777" w:rsidTr="00E12AF4">
        <w:trPr>
          <w:trHeight w:val="5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2539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3L FT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CED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052E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A1AE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8698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E12AF4" w:rsidRPr="00E12AF4" w14:paraId="20548215" w14:textId="77777777" w:rsidTr="00E12AF4">
        <w:trPr>
          <w:trHeight w:val="6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027F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3L PT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B2FA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0FCB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9299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5BB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12AF4" w:rsidRPr="00E12AF4" w14:paraId="6F16E093" w14:textId="77777777" w:rsidTr="00E12AF4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FE0" w14:textId="77777777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4L PT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2D3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5218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00FE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D270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12AF4" w:rsidRPr="00E12AF4" w14:paraId="75E45BD8" w14:textId="77777777" w:rsidTr="00E12AF4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D57" w14:textId="77777777" w:rsidR="00E12AF4" w:rsidRPr="00E12AF4" w:rsidRDefault="00E12AF4" w:rsidP="00E12A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7FD" w:fill="D9E7FD"/>
            <w:noWrap/>
            <w:vAlign w:val="bottom"/>
            <w:hideMark/>
          </w:tcPr>
          <w:p w14:paraId="624DF46B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7FD" w:fill="D9E7FD"/>
            <w:noWrap/>
            <w:vAlign w:val="bottom"/>
            <w:hideMark/>
          </w:tcPr>
          <w:p w14:paraId="63A6A9B3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7FD" w:fill="D9E7FD"/>
            <w:noWrap/>
            <w:vAlign w:val="bottom"/>
            <w:hideMark/>
          </w:tcPr>
          <w:p w14:paraId="0BC92966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7FD" w:fill="D9E7FD"/>
            <w:noWrap/>
            <w:vAlign w:val="bottom"/>
            <w:hideMark/>
          </w:tcPr>
          <w:p w14:paraId="3F45DAB6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</w:tbl>
    <w:p w14:paraId="45A0EE03" w14:textId="350CF6E3" w:rsidR="00E12AF4" w:rsidRDefault="00E12AF4" w:rsidP="00E12AF4">
      <w:pPr>
        <w:rPr>
          <w:b/>
          <w:bCs/>
        </w:rPr>
      </w:pPr>
    </w:p>
    <w:p w14:paraId="42B3DA3E" w14:textId="77777777" w:rsidR="00060F8F" w:rsidRDefault="00060F8F" w:rsidP="00E12AF4">
      <w:pPr>
        <w:rPr>
          <w:b/>
          <w:bCs/>
        </w:rPr>
      </w:pPr>
    </w:p>
    <w:p w14:paraId="0B2142E1" w14:textId="77777777" w:rsidR="00060F8F" w:rsidRDefault="00060F8F" w:rsidP="00E12AF4">
      <w:pPr>
        <w:rPr>
          <w:b/>
          <w:bCs/>
        </w:rPr>
      </w:pPr>
    </w:p>
    <w:p w14:paraId="6917D03A" w14:textId="77777777" w:rsidR="00060F8F" w:rsidRDefault="00060F8F" w:rsidP="00E12AF4">
      <w:pPr>
        <w:rPr>
          <w:b/>
          <w:bCs/>
        </w:rPr>
      </w:pPr>
    </w:p>
    <w:p w14:paraId="2E5A48A4" w14:textId="160F6EBC" w:rsidR="00E12AF4" w:rsidRDefault="00E12AF4" w:rsidP="00E12AF4">
      <w:pPr>
        <w:rPr>
          <w:b/>
          <w:bCs/>
        </w:rPr>
      </w:pPr>
      <w:r>
        <w:rPr>
          <w:b/>
          <w:bCs/>
        </w:rPr>
        <w:lastRenderedPageBreak/>
        <w:t>#2 Choice if #1 Choice was Grades:</w:t>
      </w:r>
    </w:p>
    <w:tbl>
      <w:tblPr>
        <w:tblW w:w="4180" w:type="dxa"/>
        <w:tblLook w:val="04A0" w:firstRow="1" w:lastRow="0" w:firstColumn="1" w:lastColumn="0" w:noHBand="0" w:noVBand="1"/>
      </w:tblPr>
      <w:tblGrid>
        <w:gridCol w:w="2440"/>
        <w:gridCol w:w="1740"/>
      </w:tblGrid>
      <w:tr w:rsidR="00E12AF4" w:rsidRPr="00E12AF4" w14:paraId="27F9A530" w14:textId="77777777" w:rsidTr="00060F8F">
        <w:trPr>
          <w:trHeight w:val="43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EDF0" w14:textId="2700B986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opt in see grades 2nd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F9B0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E12AF4" w:rsidRPr="00E12AF4" w14:paraId="6A760388" w14:textId="77777777" w:rsidTr="00060F8F">
        <w:trPr>
          <w:trHeight w:val="4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EA85" w14:textId="61DA070B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opt in no grades 2nd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01E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12AF4" w:rsidRPr="00E12AF4" w14:paraId="4839B5E9" w14:textId="77777777" w:rsidTr="00E12AF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60EE" w14:textId="044D2823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p/f 2nd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7336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10E9E987" w14:textId="1F0972DA" w:rsidR="00E12AF4" w:rsidRDefault="00E12AF4" w:rsidP="00E12AF4">
      <w:pPr>
        <w:rPr>
          <w:b/>
          <w:bCs/>
        </w:rPr>
      </w:pPr>
    </w:p>
    <w:p w14:paraId="4887C825" w14:textId="1C162110" w:rsidR="00BD09F4" w:rsidRDefault="00BD09F4" w:rsidP="00E12AF4">
      <w:pPr>
        <w:rPr>
          <w:b/>
          <w:bCs/>
        </w:rPr>
      </w:pPr>
    </w:p>
    <w:p w14:paraId="17FF32B0" w14:textId="77777777" w:rsidR="00BD09F4" w:rsidRDefault="00BD09F4" w:rsidP="00E12AF4">
      <w:pPr>
        <w:rPr>
          <w:b/>
          <w:bCs/>
        </w:rPr>
      </w:pPr>
    </w:p>
    <w:p w14:paraId="6B45B174" w14:textId="3417F99A" w:rsidR="00E12AF4" w:rsidRDefault="00E12AF4" w:rsidP="00E12AF4">
      <w:pPr>
        <w:rPr>
          <w:b/>
          <w:bCs/>
        </w:rPr>
      </w:pPr>
      <w:r>
        <w:rPr>
          <w:b/>
          <w:bCs/>
        </w:rPr>
        <w:t xml:space="preserve">#2 Choice if #1 Choice was </w:t>
      </w:r>
      <w:proofErr w:type="spellStart"/>
      <w:r>
        <w:rPr>
          <w:b/>
          <w:bCs/>
        </w:rPr>
        <w:t>Opt</w:t>
      </w:r>
      <w:proofErr w:type="spellEnd"/>
      <w:r>
        <w:rPr>
          <w:b/>
          <w:bCs/>
        </w:rPr>
        <w:t xml:space="preserve"> in after seeing grades:</w:t>
      </w:r>
    </w:p>
    <w:tbl>
      <w:tblPr>
        <w:tblW w:w="4180" w:type="dxa"/>
        <w:tblLook w:val="04A0" w:firstRow="1" w:lastRow="0" w:firstColumn="1" w:lastColumn="0" w:noHBand="0" w:noVBand="1"/>
      </w:tblPr>
      <w:tblGrid>
        <w:gridCol w:w="2440"/>
        <w:gridCol w:w="1740"/>
      </w:tblGrid>
      <w:tr w:rsidR="00E12AF4" w:rsidRPr="00E12AF4" w14:paraId="0741DA5E" w14:textId="77777777" w:rsidTr="00E12AF4">
        <w:trPr>
          <w:trHeight w:val="5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DDFC" w14:textId="65C62DD6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Grades 2nd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11C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E12AF4" w:rsidRPr="00E12AF4" w14:paraId="218E4DBB" w14:textId="77777777" w:rsidTr="00E12AF4">
        <w:trPr>
          <w:trHeight w:val="6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0EA9" w14:textId="7ED94F25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Opt</w:t>
            </w:r>
            <w:proofErr w:type="spellEnd"/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in No See 2nd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19F2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E12AF4" w:rsidRPr="00E12AF4" w14:paraId="19FECA71" w14:textId="77777777" w:rsidTr="00E12AF4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B93A" w14:textId="71BE2790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P/F Only 2nd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CC0C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</w:tr>
    </w:tbl>
    <w:p w14:paraId="16CF4FAE" w14:textId="5EA921F9" w:rsidR="00E12AF4" w:rsidRDefault="00E12AF4" w:rsidP="00E12AF4">
      <w:pPr>
        <w:rPr>
          <w:b/>
          <w:bCs/>
        </w:rPr>
      </w:pPr>
    </w:p>
    <w:p w14:paraId="19892DE4" w14:textId="0D585F37" w:rsidR="00E12AF4" w:rsidRDefault="00E12AF4" w:rsidP="00E12AF4">
      <w:pPr>
        <w:rPr>
          <w:b/>
          <w:bCs/>
        </w:rPr>
      </w:pPr>
      <w:r>
        <w:rPr>
          <w:b/>
          <w:bCs/>
        </w:rPr>
        <w:t>Split if Btw Grades and P/F</w:t>
      </w:r>
    </w:p>
    <w:tbl>
      <w:tblPr>
        <w:tblW w:w="5560" w:type="dxa"/>
        <w:tblLook w:val="04A0" w:firstRow="1" w:lastRow="0" w:firstColumn="1" w:lastColumn="0" w:noHBand="0" w:noVBand="1"/>
      </w:tblPr>
      <w:tblGrid>
        <w:gridCol w:w="1740"/>
        <w:gridCol w:w="1740"/>
        <w:gridCol w:w="2080"/>
      </w:tblGrid>
      <w:tr w:rsidR="00E12AF4" w:rsidRPr="00E12AF4" w14:paraId="491B5225" w14:textId="77777777" w:rsidTr="00E12AF4">
        <w:trPr>
          <w:trHeight w:val="3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05BC2" w14:textId="702A754D" w:rsidR="00E12AF4" w:rsidRPr="00E12AF4" w:rsidRDefault="00E12AF4" w:rsidP="00E12A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CC1E" w14:textId="6FC3B167" w:rsidR="00E12AF4" w:rsidRPr="00E12AF4" w:rsidRDefault="00E12AF4" w:rsidP="00E12A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</w:t>
            </w: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9DE" w14:textId="4769ACCE" w:rsidR="00E12AF4" w:rsidRPr="00E12AF4" w:rsidRDefault="00E12AF4" w:rsidP="00E12A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Percent</w:t>
            </w:r>
          </w:p>
        </w:tc>
      </w:tr>
      <w:tr w:rsidR="00E12AF4" w:rsidRPr="00E12AF4" w14:paraId="3BBE839F" w14:textId="77777777" w:rsidTr="00E12AF4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E72BB" w14:textId="27E30D46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Grades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DA2" w14:textId="792158C2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BAD0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42.32%</w:t>
            </w:r>
          </w:p>
        </w:tc>
      </w:tr>
      <w:tr w:rsidR="00E12AF4" w:rsidRPr="00E12AF4" w14:paraId="085A4160" w14:textId="77777777" w:rsidTr="00E12AF4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9F0E6" w14:textId="4C810B79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P/F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E3C" w14:textId="19138908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315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57.68%</w:t>
            </w:r>
          </w:p>
        </w:tc>
      </w:tr>
    </w:tbl>
    <w:p w14:paraId="12496F97" w14:textId="40F010F2" w:rsidR="00E12AF4" w:rsidRDefault="00E12AF4" w:rsidP="00E12AF4">
      <w:pPr>
        <w:rPr>
          <w:b/>
          <w:bCs/>
        </w:rPr>
      </w:pPr>
    </w:p>
    <w:p w14:paraId="0B311A81" w14:textId="75D27970" w:rsidR="00E12AF4" w:rsidRDefault="00E12AF4" w:rsidP="00E12AF4">
      <w:pPr>
        <w:rPr>
          <w:b/>
          <w:bCs/>
        </w:rPr>
      </w:pPr>
    </w:p>
    <w:p w14:paraId="2689AED5" w14:textId="77777777" w:rsidR="00E12AF4" w:rsidRDefault="00E12AF4" w:rsidP="00E12AF4">
      <w:pPr>
        <w:rPr>
          <w:b/>
          <w:bCs/>
        </w:rPr>
      </w:pPr>
    </w:p>
    <w:p w14:paraId="5ED9FEB6" w14:textId="0B04DFA6" w:rsidR="00E12AF4" w:rsidRDefault="00E12AF4" w:rsidP="00E12AF4">
      <w:pPr>
        <w:rPr>
          <w:b/>
          <w:bCs/>
        </w:rPr>
      </w:pPr>
      <w:r>
        <w:rPr>
          <w:b/>
          <w:bCs/>
        </w:rPr>
        <w:t xml:space="preserve">Split if Btw Grades and P/F only for smaller known </w:t>
      </w:r>
      <w:proofErr w:type="spellStart"/>
      <w:r>
        <w:rPr>
          <w:b/>
          <w:bCs/>
        </w:rPr>
        <w:t>uniques</w:t>
      </w:r>
      <w:proofErr w:type="spellEnd"/>
      <w:r>
        <w:rPr>
          <w:b/>
          <w:bCs/>
        </w:rPr>
        <w:t>:</w:t>
      </w:r>
    </w:p>
    <w:p w14:paraId="5504949B" w14:textId="77777777" w:rsidR="00E12AF4" w:rsidRDefault="00E12AF4" w:rsidP="00E12AF4">
      <w:pPr>
        <w:rPr>
          <w:b/>
          <w:bCs/>
        </w:rPr>
      </w:pPr>
    </w:p>
    <w:tbl>
      <w:tblPr>
        <w:tblW w:w="5560" w:type="dxa"/>
        <w:tblLook w:val="04A0" w:firstRow="1" w:lastRow="0" w:firstColumn="1" w:lastColumn="0" w:noHBand="0" w:noVBand="1"/>
      </w:tblPr>
      <w:tblGrid>
        <w:gridCol w:w="1740"/>
        <w:gridCol w:w="1740"/>
        <w:gridCol w:w="2080"/>
      </w:tblGrid>
      <w:tr w:rsidR="00E12AF4" w:rsidRPr="00E12AF4" w14:paraId="66C6EDEE" w14:textId="77777777" w:rsidTr="00D517BB">
        <w:trPr>
          <w:trHeight w:val="3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05416" w14:textId="08BEDC4A" w:rsidR="00E12AF4" w:rsidRPr="00E12AF4" w:rsidRDefault="00E12AF4" w:rsidP="00E12A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18B1" w14:textId="5BECAFB8" w:rsidR="00E12AF4" w:rsidRPr="00E12AF4" w:rsidRDefault="00E12AF4" w:rsidP="00E12A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7BDE" w14:textId="77777777" w:rsidR="00E12AF4" w:rsidRPr="00E12AF4" w:rsidRDefault="00E12AF4" w:rsidP="00E12AF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Stories Only</w:t>
            </w:r>
          </w:p>
        </w:tc>
      </w:tr>
      <w:tr w:rsidR="00E12AF4" w:rsidRPr="00E12AF4" w14:paraId="61816343" w14:textId="77777777" w:rsidTr="00D517BB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8C3BB" w14:textId="1D15C6EC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Grades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AE15" w14:textId="0346A8DC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8EFC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43.07%</w:t>
            </w:r>
          </w:p>
        </w:tc>
      </w:tr>
      <w:tr w:rsidR="00E12AF4" w:rsidRPr="00E12AF4" w14:paraId="2E6E4CB8" w14:textId="77777777" w:rsidTr="00D517BB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BF920" w14:textId="677CFC83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P/F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FC26" w14:textId="5909C589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99E2" w14:textId="77777777" w:rsidR="00E12AF4" w:rsidRPr="00E12AF4" w:rsidRDefault="00E12AF4" w:rsidP="00E12A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2A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56.93%</w:t>
            </w:r>
          </w:p>
        </w:tc>
      </w:tr>
    </w:tbl>
    <w:p w14:paraId="0B562D5D" w14:textId="7ED6278E" w:rsidR="00E12AF4" w:rsidRDefault="00E12AF4" w:rsidP="00E12AF4">
      <w:pPr>
        <w:rPr>
          <w:b/>
          <w:bCs/>
        </w:rPr>
      </w:pPr>
    </w:p>
    <w:sectPr w:rsidR="00E12AF4" w:rsidSect="00703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32327" w14:textId="77777777" w:rsidR="00746D42" w:rsidRDefault="00746D42" w:rsidP="00ED4F1B">
      <w:r>
        <w:separator/>
      </w:r>
    </w:p>
  </w:endnote>
  <w:endnote w:type="continuationSeparator" w:id="0">
    <w:p w14:paraId="2277E0F1" w14:textId="77777777" w:rsidR="00746D42" w:rsidRDefault="00746D42" w:rsidP="00ED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D74BF" w14:textId="77777777" w:rsidR="00746D42" w:rsidRDefault="00746D42" w:rsidP="00ED4F1B">
      <w:r>
        <w:separator/>
      </w:r>
    </w:p>
  </w:footnote>
  <w:footnote w:type="continuationSeparator" w:id="0">
    <w:p w14:paraId="72F4B0FC" w14:textId="77777777" w:rsidR="00746D42" w:rsidRDefault="00746D42" w:rsidP="00ED4F1B">
      <w:r>
        <w:continuationSeparator/>
      </w:r>
    </w:p>
  </w:footnote>
  <w:footnote w:id="1">
    <w:p w14:paraId="3A2ED684" w14:textId="16BB9342" w:rsidR="00ED4F1B" w:rsidRDefault="00ED4F1B" w:rsidP="00ED4F1B">
      <w:r>
        <w:rPr>
          <w:rStyle w:val="FootnoteReference"/>
        </w:rPr>
        <w:footnoteRef/>
      </w:r>
      <w:r>
        <w:t xml:space="preserve"> </w:t>
      </w:r>
      <w:r w:rsidRPr="00ED4F1B">
        <w:rPr>
          <w:sz w:val="20"/>
          <w:szCs w:val="20"/>
        </w:rPr>
        <w:t xml:space="preserve">This analysis is prepared by Ariel Federow after </w:t>
      </w:r>
      <w:r>
        <w:rPr>
          <w:sz w:val="20"/>
          <w:szCs w:val="20"/>
        </w:rPr>
        <w:t>general d</w:t>
      </w:r>
      <w:r w:rsidRPr="00ED4F1B">
        <w:rPr>
          <w:sz w:val="20"/>
          <w:szCs w:val="20"/>
        </w:rPr>
        <w:t xml:space="preserve">iscussion with the rest of the SG </w:t>
      </w:r>
      <w:r>
        <w:rPr>
          <w:sz w:val="20"/>
          <w:szCs w:val="20"/>
        </w:rPr>
        <w:t>team</w:t>
      </w:r>
      <w:r w:rsidR="00060F8F">
        <w:rPr>
          <w:sz w:val="20"/>
          <w:szCs w:val="20"/>
        </w:rPr>
        <w:t xml:space="preserve"> but very little time for considered and careful analysis. Since in our small community it is likely this document will get distributed widely, I am happy to make the underlying data available for review. </w:t>
      </w:r>
      <w:proofErr w:type="spellStart"/>
      <w:r w:rsidR="00060F8F">
        <w:rPr>
          <w:sz w:val="20"/>
          <w:szCs w:val="20"/>
        </w:rPr>
        <w:t xml:space="preserve">This </w:t>
      </w:r>
      <w:proofErr w:type="spellEnd"/>
      <w:r w:rsidR="00060F8F">
        <w:rPr>
          <w:sz w:val="20"/>
          <w:szCs w:val="20"/>
        </w:rPr>
        <w:t>is an attempt to quantify student responses in a very short amount of time. E</w:t>
      </w:r>
      <w:r>
        <w:rPr>
          <w:sz w:val="20"/>
          <w:szCs w:val="20"/>
        </w:rPr>
        <w:t xml:space="preserve">rrors are mine.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02ED7"/>
    <w:multiLevelType w:val="hybridMultilevel"/>
    <w:tmpl w:val="05A6F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F4"/>
    <w:rsid w:val="00060F8F"/>
    <w:rsid w:val="00431C66"/>
    <w:rsid w:val="00434C7F"/>
    <w:rsid w:val="006D331E"/>
    <w:rsid w:val="0070399E"/>
    <w:rsid w:val="00746D42"/>
    <w:rsid w:val="00782609"/>
    <w:rsid w:val="008A07EC"/>
    <w:rsid w:val="008B0D07"/>
    <w:rsid w:val="00A52E63"/>
    <w:rsid w:val="00BD09F4"/>
    <w:rsid w:val="00E12AF4"/>
    <w:rsid w:val="00E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5A3BD"/>
  <w15:chartTrackingRefBased/>
  <w15:docId w15:val="{D9EC7555-FE73-004D-82C4-97C274A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9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4F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F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4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ariel.federow@live.law.cuny.edu</dc:creator>
  <cp:keywords/>
  <dc:description/>
  <cp:lastModifiedBy>ariel.federow@live.law.cuny.edu</cp:lastModifiedBy>
  <cp:revision>4</cp:revision>
  <dcterms:created xsi:type="dcterms:W3CDTF">2020-12-09T16:42:00Z</dcterms:created>
  <dcterms:modified xsi:type="dcterms:W3CDTF">2020-12-09T16:56:00Z</dcterms:modified>
</cp:coreProperties>
</file>